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607F1" w14:textId="6DBF64AA" w:rsidR="00BB0331" w:rsidRPr="0072412D" w:rsidRDefault="00BB0331" w:rsidP="00BB0331">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 xml:space="preserve">103-e </w:t>
      </w:r>
      <w:r w:rsidRPr="0072412D">
        <w:rPr>
          <w:rFonts w:ascii="Arial" w:hAnsi="Arial" w:cs="Arial"/>
          <w:b/>
          <w:sz w:val="24"/>
          <w:szCs w:val="24"/>
          <w:lang w:val="en-GB"/>
        </w:rPr>
        <w:tab/>
      </w:r>
      <w:r w:rsidRPr="0072412D">
        <w:rPr>
          <w:rFonts w:ascii="Arial" w:hAnsi="Arial" w:cs="Arial"/>
          <w:b/>
          <w:sz w:val="24"/>
          <w:szCs w:val="24"/>
          <w:lang w:val="en-GB"/>
        </w:rPr>
        <w:tab/>
        <w:t>R4-22</w:t>
      </w:r>
      <w:r w:rsidR="00C84260">
        <w:rPr>
          <w:rFonts w:ascii="Arial" w:hAnsi="Arial" w:cs="Arial"/>
          <w:b/>
          <w:sz w:val="24"/>
          <w:szCs w:val="24"/>
          <w:lang w:val="en-GB"/>
        </w:rPr>
        <w:t>10231</w:t>
      </w:r>
    </w:p>
    <w:p w14:paraId="5B9B9306" w14:textId="77777777" w:rsidR="00BB0331" w:rsidRDefault="00BB0331" w:rsidP="00BB0331">
      <w:pPr>
        <w:widowControl w:val="0"/>
        <w:overflowPunct w:val="0"/>
        <w:autoSpaceDE w:val="0"/>
        <w:autoSpaceDN w:val="0"/>
        <w:adjustRightInd w:val="0"/>
        <w:spacing w:after="0" w:line="240" w:lineRule="auto"/>
        <w:textAlignment w:val="baseline"/>
        <w:rPr>
          <w:rFonts w:ascii="Arial" w:eastAsia="SimSun" w:hAnsi="Arial"/>
          <w:b/>
          <w:sz w:val="24"/>
          <w:szCs w:val="24"/>
          <w:lang w:val="en-GB" w:eastAsia="zh-CN"/>
        </w:rPr>
      </w:pPr>
      <w:r w:rsidRPr="0072412D">
        <w:rPr>
          <w:rFonts w:ascii="Arial" w:eastAsia="SimSun" w:hAnsi="Arial"/>
          <w:b/>
          <w:sz w:val="24"/>
          <w:szCs w:val="24"/>
          <w:lang w:val="en-GB" w:eastAsia="zh-CN"/>
        </w:rPr>
        <w:t>Electronic Meeting, May 9 – 20, 2022</w:t>
      </w:r>
    </w:p>
    <w:p w14:paraId="276A96BF" w14:textId="110A15E1" w:rsidR="003C3E1B" w:rsidRPr="00BB0331" w:rsidRDefault="003C3E1B" w:rsidP="003C3E1B">
      <w:pPr>
        <w:pStyle w:val="Header"/>
        <w:tabs>
          <w:tab w:val="right" w:pos="9781"/>
          <w:tab w:val="right" w:pos="13323"/>
        </w:tabs>
        <w:outlineLvl w:val="0"/>
        <w:rPr>
          <w:rFonts w:ascii="Arial" w:eastAsia="SimSun" w:hAnsi="Arial" w:cs="Times New Roman"/>
          <w:b/>
          <w:sz w:val="24"/>
          <w:szCs w:val="24"/>
          <w:lang w:val="en-GB" w:eastAsia="zh-CN"/>
        </w:rPr>
      </w:pP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5598431F"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17328" w:rsidRPr="001433B1">
        <w:rPr>
          <w:rFonts w:ascii="Arial" w:eastAsia="Calibri" w:hAnsi="Arial" w:cs="Arial"/>
          <w:b/>
          <w:bCs/>
          <w:sz w:val="24"/>
          <w:lang w:val="en-GB"/>
        </w:rPr>
        <w:t xml:space="preserve">Discussion on </w:t>
      </w:r>
      <w:r w:rsidR="009064BE">
        <w:rPr>
          <w:rFonts w:ascii="Arial" w:eastAsia="Calibri" w:hAnsi="Arial" w:cs="Arial"/>
          <w:b/>
          <w:bCs/>
          <w:sz w:val="24"/>
          <w:lang w:val="en-GB"/>
        </w:rPr>
        <w:t xml:space="preserve">requirements for </w:t>
      </w:r>
      <w:r w:rsidR="00217328" w:rsidRPr="001433B1">
        <w:rPr>
          <w:rFonts w:ascii="Arial" w:eastAsia="Calibri" w:hAnsi="Arial" w:cs="Arial"/>
          <w:b/>
          <w:bCs/>
          <w:sz w:val="24"/>
          <w:lang w:val="en-GB"/>
        </w:rPr>
        <w:t>Pre-configured MG pattern</w:t>
      </w:r>
      <w:r w:rsidR="00100DCC" w:rsidRPr="001433B1">
        <w:rPr>
          <w:rFonts w:ascii="Arial" w:eastAsia="Calibri" w:hAnsi="Arial" w:cs="Arial"/>
          <w:b/>
          <w:bCs/>
          <w:sz w:val="24"/>
          <w:lang w:val="en-GB"/>
        </w:rPr>
        <w:t>s</w:t>
      </w:r>
    </w:p>
    <w:p w14:paraId="53921647" w14:textId="44213E0C"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332F42">
        <w:rPr>
          <w:rFonts w:ascii="Arial" w:eastAsia="MS Mincho" w:hAnsi="Arial" w:cs="Arial"/>
          <w:b/>
          <w:bCs/>
          <w:sz w:val="24"/>
          <w:szCs w:val="20"/>
          <w:lang w:val="en-GB"/>
        </w:rPr>
        <w:t>9.</w:t>
      </w:r>
      <w:r w:rsidR="003C3E1B">
        <w:rPr>
          <w:rFonts w:ascii="Arial" w:eastAsia="MS Mincho" w:hAnsi="Arial" w:cs="Arial"/>
          <w:b/>
          <w:bCs/>
          <w:sz w:val="24"/>
          <w:szCs w:val="20"/>
          <w:lang w:val="en-GB"/>
        </w:rPr>
        <w:t>10</w:t>
      </w:r>
      <w:r w:rsidR="004F01C7" w:rsidRPr="00F2296F">
        <w:rPr>
          <w:rFonts w:ascii="Arial" w:eastAsia="MS Mincho" w:hAnsi="Arial" w:cs="Arial"/>
          <w:b/>
          <w:bCs/>
          <w:sz w:val="24"/>
          <w:szCs w:val="20"/>
          <w:lang w:val="en-GB"/>
        </w:rPr>
        <w:t>.</w:t>
      </w:r>
      <w:r w:rsidR="00332F42">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4B89F98D" w14:textId="5BA53F77" w:rsidR="008E6FD8" w:rsidRPr="001433B1" w:rsidRDefault="00527F24" w:rsidP="00527F24">
      <w:pPr>
        <w:spacing w:after="60" w:line="240" w:lineRule="auto"/>
        <w:ind w:right="-23"/>
        <w:rPr>
          <w:lang w:val="en-GB"/>
        </w:rPr>
      </w:pPr>
      <w:r w:rsidRPr="001433B1">
        <w:rPr>
          <w:lang w:val="en-GB"/>
        </w:rPr>
        <w:t>At RAN4 #</w:t>
      </w:r>
      <w:r w:rsidR="005D0D78">
        <w:rPr>
          <w:lang w:val="en-GB"/>
        </w:rPr>
        <w:t>10</w:t>
      </w:r>
      <w:r w:rsidR="004B3F59">
        <w:rPr>
          <w:lang w:val="en-GB"/>
        </w:rPr>
        <w:t>2</w:t>
      </w:r>
      <w:r w:rsidRPr="001433B1">
        <w:rPr>
          <w:lang w:val="en-GB"/>
        </w:rPr>
        <w:t>-e, the technical discussion on pre-configured measurement gap patterns as part of the Rel-17 work item on NR and MR</w:t>
      </w:r>
      <w:r w:rsidR="00FA189B" w:rsidRPr="001433B1">
        <w:rPr>
          <w:lang w:val="en-GB"/>
        </w:rPr>
        <w:t>-</w:t>
      </w:r>
      <w:r w:rsidRPr="001433B1">
        <w:rPr>
          <w:lang w:val="en-GB"/>
        </w:rPr>
        <w:t xml:space="preserve">DC </w:t>
      </w:r>
      <w:r w:rsidR="00FA189B" w:rsidRPr="001433B1">
        <w:rPr>
          <w:lang w:val="en-GB"/>
        </w:rPr>
        <w:t>m</w:t>
      </w:r>
      <w:r w:rsidRPr="001433B1">
        <w:rPr>
          <w:lang w:val="en-GB"/>
        </w:rPr>
        <w:t>easurement gap enhancements</w:t>
      </w:r>
      <w:r w:rsidR="000F7AED">
        <w:rPr>
          <w:lang w:val="en-GB"/>
        </w:rPr>
        <w:t>, revised at RAN #94e</w:t>
      </w:r>
      <w:r w:rsidRPr="001433B1">
        <w:rPr>
          <w:lang w:val="en-GB"/>
        </w:rPr>
        <w:t xml:space="preserve"> [</w:t>
      </w:r>
      <w:r w:rsidR="00FA189B" w:rsidRPr="001433B1">
        <w:rPr>
          <w:lang w:val="en-GB"/>
        </w:rPr>
        <w:t>1</w:t>
      </w:r>
      <w:r w:rsidRPr="001433B1">
        <w:rPr>
          <w:lang w:val="en-GB"/>
        </w:rPr>
        <w:t>]</w:t>
      </w:r>
      <w:r w:rsidR="000F7AED">
        <w:rPr>
          <w:lang w:val="en-GB"/>
        </w:rPr>
        <w:t>,</w:t>
      </w:r>
      <w:r w:rsidRPr="001433B1">
        <w:rPr>
          <w:lang w:val="en-GB"/>
        </w:rPr>
        <w:t xml:space="preserve"> was </w:t>
      </w:r>
      <w:r w:rsidR="008F2668" w:rsidRPr="001433B1">
        <w:rPr>
          <w:lang w:val="en-GB"/>
        </w:rPr>
        <w:t>continued</w:t>
      </w:r>
      <w:r w:rsidRPr="001433B1">
        <w:rPr>
          <w:lang w:val="en-GB"/>
        </w:rPr>
        <w:t xml:space="preserve">. Agreements and open issues </w:t>
      </w:r>
      <w:r w:rsidR="00FA189B" w:rsidRPr="001433B1">
        <w:rPr>
          <w:lang w:val="en-GB"/>
        </w:rPr>
        <w:t>were</w:t>
      </w:r>
      <w:r w:rsidRPr="001433B1">
        <w:rPr>
          <w:lang w:val="en-GB"/>
        </w:rPr>
        <w:t xml:space="preserve"> captured in the WF </w:t>
      </w:r>
      <w:r w:rsidR="00FA189B" w:rsidRPr="001433B1">
        <w:rPr>
          <w:lang w:val="en-GB"/>
        </w:rPr>
        <w:t xml:space="preserve">[2]. </w:t>
      </w:r>
    </w:p>
    <w:p w14:paraId="551B4160" w14:textId="463AD66E" w:rsidR="009064BE" w:rsidRPr="009064BE" w:rsidRDefault="009064BE" w:rsidP="009064BE">
      <w:pPr>
        <w:overflowPunct w:val="0"/>
        <w:autoSpaceDE w:val="0"/>
        <w:autoSpaceDN w:val="0"/>
        <w:adjustRightInd w:val="0"/>
        <w:spacing w:before="120" w:after="60"/>
        <w:rPr>
          <w:rFonts w:cs="Arial"/>
          <w:lang w:eastAsia="ja-JP"/>
        </w:rPr>
      </w:pPr>
      <w:r>
        <w:rPr>
          <w:color w:val="000000" w:themeColor="text1"/>
          <w:lang w:val="en-GB"/>
        </w:rPr>
        <w:t xml:space="preserve">This contribution discusses one remaining issue on the </w:t>
      </w:r>
      <w:r w:rsidRPr="00C75C6E">
        <w:rPr>
          <w:rFonts w:cs="Arial"/>
          <w:lang w:eastAsia="ja-JP"/>
        </w:rPr>
        <w:t>UE behavior in case of multiple simultaneous trigger events</w:t>
      </w:r>
      <w:r>
        <w:rPr>
          <w:rFonts w:cs="Arial"/>
          <w:lang w:eastAsia="ja-JP"/>
        </w:rPr>
        <w:t xml:space="preserve"> [3].</w:t>
      </w:r>
    </w:p>
    <w:p w14:paraId="2FF6A72B" w14:textId="57C3D1C2" w:rsidR="003B659E" w:rsidRDefault="003B659E" w:rsidP="00AE56B1">
      <w:pPr>
        <w:pStyle w:val="RAN4H1"/>
      </w:pPr>
      <w:r w:rsidRPr="00ED4EC5">
        <w:t>Discussion</w:t>
      </w:r>
    </w:p>
    <w:p w14:paraId="1F41BDBE" w14:textId="2F43FB77" w:rsidR="009064BE" w:rsidRPr="001433B1" w:rsidRDefault="009064BE" w:rsidP="009064BE">
      <w:pPr>
        <w:spacing w:after="240" w:line="240" w:lineRule="auto"/>
        <w:ind w:right="-23"/>
        <w:rPr>
          <w:rFonts w:eastAsia="Calibri" w:cs="Times New Roman"/>
          <w:color w:val="000000" w:themeColor="text1"/>
          <w:szCs w:val="20"/>
          <w:lang w:val="en-GB"/>
        </w:rPr>
      </w:pPr>
      <w:r>
        <w:rPr>
          <w:color w:val="000000" w:themeColor="text1"/>
          <w:lang w:val="en-GB"/>
        </w:rPr>
        <w:t>Among the numerous agreements, consensus on the additional trigger events for pre-MG activation / deactivation for UE autonomous pre-MG activation / deactivation was achieved, which resulted in the following addition to TS 38.133</w:t>
      </w:r>
      <w:r>
        <w:rPr>
          <w:color w:val="000000" w:themeColor="text1"/>
          <w:lang w:val="en-GB"/>
        </w:rPr>
        <w:t xml:space="preserve"> V17.5.0</w:t>
      </w:r>
      <w:r>
        <w:rPr>
          <w:color w:val="000000" w:themeColor="text1"/>
          <w:lang w:val="en-GB"/>
        </w:rPr>
        <w:t>:</w:t>
      </w:r>
    </w:p>
    <w:tbl>
      <w:tblPr>
        <w:tblStyle w:val="TableGrid"/>
        <w:tblW w:w="0" w:type="auto"/>
        <w:tblLook w:val="04A0" w:firstRow="1" w:lastRow="0" w:firstColumn="1" w:lastColumn="0" w:noHBand="0" w:noVBand="1"/>
      </w:tblPr>
      <w:tblGrid>
        <w:gridCol w:w="9617"/>
      </w:tblGrid>
      <w:tr w:rsidR="009064BE" w:rsidRPr="001433B1" w14:paraId="2C9537BC" w14:textId="77777777" w:rsidTr="00B10718">
        <w:tc>
          <w:tcPr>
            <w:tcW w:w="9617" w:type="dxa"/>
          </w:tcPr>
          <w:p w14:paraId="3818DAF8" w14:textId="77777777" w:rsidR="009064BE" w:rsidRPr="004632CC" w:rsidRDefault="009064BE" w:rsidP="00B10718">
            <w:pPr>
              <w:spacing w:after="120" w:line="252" w:lineRule="auto"/>
              <w:rPr>
                <w:rFonts w:cs="Times New Roman"/>
                <w:lang w:eastAsia="ja-JP"/>
              </w:rPr>
            </w:pPr>
            <w:r w:rsidRPr="004632CC">
              <w:rPr>
                <w:lang w:eastAsia="zh-CN"/>
              </w:rPr>
              <w:lastRenderedPageBreak/>
              <w:drawing>
                <wp:inline distT="0" distB="0" distL="0" distR="0" wp14:anchorId="2C35909B" wp14:editId="1DF94820">
                  <wp:extent cx="6113145" cy="517144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5171440"/>
                          </a:xfrm>
                          <a:prstGeom prst="rect">
                            <a:avLst/>
                          </a:prstGeom>
                        </pic:spPr>
                      </pic:pic>
                    </a:graphicData>
                  </a:graphic>
                </wp:inline>
              </w:drawing>
            </w:r>
          </w:p>
        </w:tc>
      </w:tr>
    </w:tbl>
    <w:p w14:paraId="7387E064" w14:textId="77777777" w:rsidR="009064BE" w:rsidRDefault="009064BE" w:rsidP="009064BE">
      <w:pPr>
        <w:overflowPunct w:val="0"/>
        <w:autoSpaceDE w:val="0"/>
        <w:autoSpaceDN w:val="0"/>
        <w:adjustRightInd w:val="0"/>
        <w:spacing w:before="120" w:after="120"/>
        <w:rPr>
          <w:rFonts w:cs="Arial"/>
          <w:lang w:eastAsia="ja-JP"/>
        </w:rPr>
      </w:pPr>
      <w:r>
        <w:rPr>
          <w:color w:val="000000" w:themeColor="text1"/>
        </w:rPr>
        <w:t xml:space="preserve">One issue left for further consideration was the </w:t>
      </w:r>
      <w:r w:rsidRPr="00C75C6E">
        <w:rPr>
          <w:rFonts w:cs="Arial"/>
          <w:lang w:eastAsia="ja-JP"/>
        </w:rPr>
        <w:t>UE behavior in case of multiple simultaneous trigger events</w:t>
      </w:r>
      <w:r>
        <w:rPr>
          <w:rFonts w:cs="Arial"/>
          <w:lang w:eastAsia="ja-JP"/>
        </w:rPr>
        <w:t xml:space="preserve"> [3].</w:t>
      </w:r>
    </w:p>
    <w:tbl>
      <w:tblPr>
        <w:tblStyle w:val="TableGrid"/>
        <w:tblW w:w="0" w:type="auto"/>
        <w:tblLook w:val="04A0" w:firstRow="1" w:lastRow="0" w:firstColumn="1" w:lastColumn="0" w:noHBand="0" w:noVBand="1"/>
      </w:tblPr>
      <w:tblGrid>
        <w:gridCol w:w="9617"/>
      </w:tblGrid>
      <w:tr w:rsidR="009064BE" w14:paraId="5C6B6889" w14:textId="77777777" w:rsidTr="00B10718">
        <w:tc>
          <w:tcPr>
            <w:tcW w:w="9617" w:type="dxa"/>
          </w:tcPr>
          <w:p w14:paraId="3EB845E7" w14:textId="77777777" w:rsidR="009064BE" w:rsidRPr="004632CC" w:rsidRDefault="009064BE" w:rsidP="00B10718">
            <w:pPr>
              <w:pStyle w:val="Heading4"/>
              <w:outlineLvl w:val="3"/>
              <w:rPr>
                <w:rFonts w:ascii="Arial" w:eastAsiaTheme="minorEastAsia" w:hAnsi="Arial" w:cs="Arial"/>
                <w:b/>
                <w:bCs/>
                <w:i w:val="0"/>
                <w:iCs w:val="0"/>
                <w:color w:val="000000" w:themeColor="text1"/>
                <w:szCs w:val="20"/>
                <w:u w:val="single"/>
              </w:rPr>
            </w:pPr>
            <w:r w:rsidRPr="004632CC">
              <w:rPr>
                <w:rFonts w:ascii="Arial" w:eastAsiaTheme="minorEastAsia" w:hAnsi="Arial" w:cs="Arial"/>
                <w:b/>
                <w:bCs/>
                <w:i w:val="0"/>
                <w:iCs w:val="0"/>
                <w:color w:val="000000" w:themeColor="text1"/>
                <w:szCs w:val="20"/>
                <w:u w:val="single"/>
              </w:rPr>
              <w:t>Issue 3-2 How to determine pre-MG (de)activation status when multiple trigger events happened</w:t>
            </w:r>
          </w:p>
          <w:p w14:paraId="3E5E8636" w14:textId="77777777" w:rsidR="009064BE" w:rsidRDefault="009064BE" w:rsidP="00B10718">
            <w:pPr>
              <w:spacing w:before="120" w:after="120"/>
              <w:rPr>
                <w:rFonts w:eastAsiaTheme="minorEastAsia"/>
                <w:i/>
                <w:color w:val="0070C0"/>
              </w:rPr>
            </w:pPr>
            <w:r>
              <w:rPr>
                <w:rFonts w:eastAsiaTheme="minorEastAsia" w:hint="eastAsia"/>
                <w:i/>
                <w:color w:val="0070C0"/>
              </w:rPr>
              <w:t>Tentative agreements:</w:t>
            </w:r>
          </w:p>
          <w:p w14:paraId="4B4F908C" w14:textId="77777777" w:rsidR="009064BE" w:rsidRPr="005A5C57" w:rsidRDefault="009064BE" w:rsidP="00B10718">
            <w:pPr>
              <w:pStyle w:val="ListParagraph"/>
              <w:numPr>
                <w:ilvl w:val="0"/>
                <w:numId w:val="31"/>
              </w:numPr>
              <w:overflowPunct w:val="0"/>
              <w:autoSpaceDE w:val="0"/>
              <w:autoSpaceDN w:val="0"/>
              <w:adjustRightInd w:val="0"/>
              <w:spacing w:after="180"/>
              <w:contextualSpacing w:val="0"/>
              <w:textAlignment w:val="baseline"/>
            </w:pPr>
            <w:r>
              <w:t xml:space="preserve">How NW determine the gap status the is up to NW implementation itself. </w:t>
            </w:r>
          </w:p>
          <w:p w14:paraId="466916E9" w14:textId="77777777" w:rsidR="009064BE" w:rsidRDefault="009064BE" w:rsidP="00B10718">
            <w:pPr>
              <w:pStyle w:val="ListParagraph"/>
              <w:numPr>
                <w:ilvl w:val="0"/>
                <w:numId w:val="31"/>
              </w:numPr>
              <w:overflowPunct w:val="0"/>
              <w:autoSpaceDE w:val="0"/>
              <w:autoSpaceDN w:val="0"/>
              <w:adjustRightInd w:val="0"/>
              <w:spacing w:after="180"/>
              <w:contextualSpacing w:val="0"/>
              <w:textAlignment w:val="baseline"/>
            </w:pPr>
            <w:r>
              <w:t>When RAN4 define the pre-configured MG activation/deactivation trigger conditions, all the events shall be taken count into by UE together.</w:t>
            </w:r>
          </w:p>
          <w:p w14:paraId="48A0D07F" w14:textId="77777777" w:rsidR="009064BE" w:rsidRPr="004632CC" w:rsidRDefault="009064BE" w:rsidP="00B10718">
            <w:pPr>
              <w:pStyle w:val="ListParagraph"/>
              <w:numPr>
                <w:ilvl w:val="0"/>
                <w:numId w:val="31"/>
              </w:numPr>
              <w:overflowPunct w:val="0"/>
              <w:autoSpaceDE w:val="0"/>
              <w:autoSpaceDN w:val="0"/>
              <w:adjustRightInd w:val="0"/>
              <w:spacing w:after="180"/>
              <w:contextualSpacing w:val="0"/>
              <w:textAlignment w:val="baseline"/>
            </w:pPr>
            <w:r>
              <w:t>For RAN4 requirements perspective, UE behavior under multiple trigger events happened can be FFS in the 2</w:t>
            </w:r>
            <w:r w:rsidRPr="00C54D27">
              <w:rPr>
                <w:vertAlign w:val="superscript"/>
              </w:rPr>
              <w:t>nd</w:t>
            </w:r>
            <w:r>
              <w:t xml:space="preserve"> round discussion.</w:t>
            </w:r>
          </w:p>
        </w:tc>
      </w:tr>
    </w:tbl>
    <w:p w14:paraId="1F9625CA" w14:textId="77777777" w:rsidR="009064BE" w:rsidRPr="00A42C16" w:rsidRDefault="009064BE" w:rsidP="009064BE">
      <w:pPr>
        <w:overflowPunct w:val="0"/>
        <w:autoSpaceDE w:val="0"/>
        <w:autoSpaceDN w:val="0"/>
        <w:adjustRightInd w:val="0"/>
        <w:spacing w:before="120" w:after="60"/>
        <w:rPr>
          <w:color w:val="000000" w:themeColor="text1"/>
          <w:lang w:val="en-GB" w:eastAsia="zh-CN"/>
        </w:rPr>
      </w:pPr>
      <w:r w:rsidRPr="00A42C16">
        <w:rPr>
          <w:color w:val="000000" w:themeColor="text1"/>
          <w:lang w:val="en-GB" w:eastAsia="zh-CN"/>
        </w:rPr>
        <w:t xml:space="preserve">There was no agreement at RAN4 #102-e on the necessity of treating the multiple trigger event case in TS 38.133 and moderator suggested it can be further discussed in the maintenance stage. </w:t>
      </w:r>
    </w:p>
    <w:p w14:paraId="5E347DF0" w14:textId="77777777" w:rsidR="009064BE" w:rsidRDefault="009064BE" w:rsidP="009064BE">
      <w:pPr>
        <w:overflowPunct w:val="0"/>
        <w:autoSpaceDE w:val="0"/>
        <w:autoSpaceDN w:val="0"/>
        <w:adjustRightInd w:val="0"/>
        <w:spacing w:before="120" w:after="60"/>
        <w:rPr>
          <w:color w:val="000000" w:themeColor="text1"/>
          <w:lang w:val="en-GB" w:eastAsia="zh-CN"/>
        </w:rPr>
      </w:pPr>
      <w:r w:rsidRPr="00A42C16">
        <w:rPr>
          <w:color w:val="000000" w:themeColor="text1"/>
          <w:lang w:val="en-GB" w:eastAsia="zh-CN"/>
        </w:rPr>
        <w:t>In fact, the case of multiple trigger events is not treated in clause 9.1.7.3.1</w:t>
      </w:r>
      <w:r>
        <w:rPr>
          <w:color w:val="000000" w:themeColor="text1"/>
          <w:lang w:val="en-GB" w:eastAsia="zh-CN"/>
        </w:rPr>
        <w:t>, as seen above</w:t>
      </w:r>
      <w:r w:rsidRPr="00A42C16">
        <w:rPr>
          <w:color w:val="000000" w:themeColor="text1"/>
          <w:lang w:val="en-GB" w:eastAsia="zh-CN"/>
        </w:rPr>
        <w:t xml:space="preserve">, although a list of trigger events is defined there. In particular, the case of multiple (almost) simultaneous trigger events is of interest here. </w:t>
      </w:r>
    </w:p>
    <w:p w14:paraId="1ED04BF0" w14:textId="77777777" w:rsidR="009064BE" w:rsidRDefault="009064BE" w:rsidP="009064BE">
      <w:pPr>
        <w:overflowPunct w:val="0"/>
        <w:autoSpaceDE w:val="0"/>
        <w:autoSpaceDN w:val="0"/>
        <w:adjustRightInd w:val="0"/>
        <w:spacing w:before="120" w:after="60"/>
        <w:rPr>
          <w:color w:val="000000" w:themeColor="text1"/>
          <w:lang w:val="en-GB" w:eastAsia="zh-CN"/>
        </w:rPr>
      </w:pPr>
      <w:r>
        <w:rPr>
          <w:color w:val="000000" w:themeColor="text1"/>
          <w:lang w:val="en-GB" w:eastAsia="zh-CN"/>
        </w:rPr>
        <w:t>It was argued in [3]</w:t>
      </w:r>
      <w:r w:rsidRPr="00A42C16">
        <w:t>, i</w:t>
      </w:r>
      <w:r>
        <w:t>f</w:t>
      </w:r>
      <w:r w:rsidRPr="00A42C16">
        <w:rPr>
          <w:color w:val="000000" w:themeColor="text1"/>
          <w:lang w:val="en-GB" w:eastAsia="zh-CN"/>
        </w:rPr>
        <w:t xml:space="preserve"> multiple trigger events </w:t>
      </w:r>
      <w:r>
        <w:rPr>
          <w:color w:val="000000" w:themeColor="text1"/>
          <w:lang w:val="en-GB" w:eastAsia="zh-CN"/>
        </w:rPr>
        <w:t>happen</w:t>
      </w:r>
      <w:r w:rsidRPr="00A42C16">
        <w:rPr>
          <w:color w:val="000000" w:themeColor="text1"/>
          <w:lang w:val="en-GB" w:eastAsia="zh-CN"/>
        </w:rPr>
        <w:t xml:space="preserve"> simultaneous, the status of pre-MG should be determined after all concurrent </w:t>
      </w:r>
      <w:r>
        <w:rPr>
          <w:color w:val="000000" w:themeColor="text1"/>
          <w:lang w:val="en-GB" w:eastAsia="zh-CN"/>
        </w:rPr>
        <w:t xml:space="preserve">trigger </w:t>
      </w:r>
      <w:r w:rsidRPr="00A42C16">
        <w:rPr>
          <w:color w:val="000000" w:themeColor="text1"/>
          <w:lang w:val="en-GB" w:eastAsia="zh-CN"/>
        </w:rPr>
        <w:t xml:space="preserve">events finish. </w:t>
      </w:r>
      <w:r>
        <w:rPr>
          <w:color w:val="000000" w:themeColor="text1"/>
          <w:lang w:val="en-GB" w:eastAsia="zh-CN"/>
        </w:rPr>
        <w:t xml:space="preserve">It was also argued in [3], that the network has full control to avoid simultaneous trigger events. While this might be true, there may be situations where the network may prefer to concurrently send the trigger events (e.g. activation/deactivation of </w:t>
      </w:r>
      <w:proofErr w:type="spellStart"/>
      <w:r>
        <w:rPr>
          <w:color w:val="000000" w:themeColor="text1"/>
          <w:lang w:val="en-GB" w:eastAsia="zh-CN"/>
        </w:rPr>
        <w:t>SCell</w:t>
      </w:r>
      <w:proofErr w:type="spellEnd"/>
      <w:r>
        <w:rPr>
          <w:color w:val="000000" w:themeColor="text1"/>
          <w:lang w:val="en-GB" w:eastAsia="zh-CN"/>
        </w:rPr>
        <w:t xml:space="preserve"> and addition/release/change of a </w:t>
      </w:r>
      <w:proofErr w:type="spellStart"/>
      <w:r>
        <w:rPr>
          <w:color w:val="000000" w:themeColor="text1"/>
          <w:lang w:val="en-GB" w:eastAsia="zh-CN"/>
        </w:rPr>
        <w:t>SCell</w:t>
      </w:r>
      <w:proofErr w:type="spellEnd"/>
      <w:r>
        <w:rPr>
          <w:color w:val="000000" w:themeColor="text1"/>
          <w:lang w:val="en-GB" w:eastAsia="zh-CN"/>
        </w:rPr>
        <w:t xml:space="preserve">) or it may signal addition/removal of any measurement object and the </w:t>
      </w:r>
      <w:proofErr w:type="spellStart"/>
      <w:r w:rsidRPr="00451E53">
        <w:rPr>
          <w:i/>
          <w:iCs/>
          <w:color w:val="000000" w:themeColor="text1"/>
          <w:lang w:val="en-GB" w:eastAsia="zh-CN"/>
        </w:rPr>
        <w:t>LocationMeasurementIndication</w:t>
      </w:r>
      <w:proofErr w:type="spellEnd"/>
      <w:r>
        <w:rPr>
          <w:color w:val="000000" w:themeColor="text1"/>
          <w:lang w:val="en-GB" w:eastAsia="zh-CN"/>
        </w:rPr>
        <w:t xml:space="preserve"> procedure is initiated by UE based on LMF request. </w:t>
      </w:r>
      <w:r>
        <w:rPr>
          <w:color w:val="000000" w:themeColor="text1"/>
          <w:lang w:val="en-GB" w:eastAsia="zh-CN"/>
        </w:rPr>
        <w:lastRenderedPageBreak/>
        <w:t xml:space="preserve">Thus, the case of multiple simultaneous trigger events should be included in the determination of the rule-based Pre-MG activation/deactivation. </w:t>
      </w:r>
    </w:p>
    <w:p w14:paraId="37FDF14F" w14:textId="491EA178" w:rsidR="009064BE" w:rsidRDefault="009064BE" w:rsidP="009064BE">
      <w:pPr>
        <w:overflowPunct w:val="0"/>
        <w:autoSpaceDE w:val="0"/>
        <w:autoSpaceDN w:val="0"/>
        <w:adjustRightInd w:val="0"/>
        <w:spacing w:before="120" w:after="60"/>
        <w:rPr>
          <w:color w:val="000000" w:themeColor="text1"/>
          <w:lang w:val="en-GB" w:eastAsia="zh-CN"/>
        </w:rPr>
      </w:pPr>
      <w:r>
        <w:rPr>
          <w:color w:val="000000" w:themeColor="text1"/>
          <w:lang w:val="en-GB" w:eastAsia="zh-CN"/>
        </w:rPr>
        <w:t>The change is marked below in red:</w:t>
      </w:r>
    </w:p>
    <w:p w14:paraId="37255B0D" w14:textId="05E2B65D" w:rsidR="009064BE" w:rsidRPr="009064BE" w:rsidRDefault="009064BE" w:rsidP="009064BE">
      <w:pPr>
        <w:overflowPunct w:val="0"/>
        <w:autoSpaceDE w:val="0"/>
        <w:autoSpaceDN w:val="0"/>
        <w:adjustRightInd w:val="0"/>
        <w:spacing w:before="120" w:after="60"/>
        <w:rPr>
          <w:color w:val="000000" w:themeColor="text1"/>
          <w:u w:val="single"/>
          <w:lang w:val="en-GB" w:eastAsia="zh-CN"/>
        </w:rPr>
      </w:pPr>
      <w:r w:rsidRPr="009064BE">
        <w:rPr>
          <w:color w:val="000000" w:themeColor="text1"/>
          <w:u w:val="single"/>
          <w:lang w:val="en-GB" w:eastAsia="zh-CN"/>
        </w:rPr>
        <w:t>For Pre-MG deactivation:</w:t>
      </w:r>
    </w:p>
    <w:p w14:paraId="241F233E" w14:textId="77777777" w:rsidR="009064BE" w:rsidRDefault="009064BE" w:rsidP="009064B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w:t>
      </w:r>
      <w:r>
        <w:rPr>
          <w:lang w:eastAsia="zh-CN"/>
        </w:rPr>
        <w:t xml:space="preserve">In case of concurrent trigger events, the UE shall determine the status of the per-UE Pre-MG pattern, taking into account all trigger events. </w:t>
      </w:r>
      <w:r w:rsidRPr="009064BE">
        <w:rPr>
          <w:color w:val="FF0000"/>
          <w:lang w:eastAsia="zh-CN"/>
        </w:rPr>
        <w:t>The UE shall determine the status of the per-</w:t>
      </w:r>
      <w:r>
        <w:rPr>
          <w:color w:val="FF0000"/>
          <w:lang w:eastAsia="zh-CN"/>
        </w:rPr>
        <w:t>UE</w:t>
      </w:r>
      <w:r w:rsidRPr="009064BE">
        <w:rPr>
          <w:color w:val="FF0000"/>
          <w:lang w:eastAsia="zh-CN"/>
        </w:rPr>
        <w:t xml:space="preserve"> Pre-MG pattern based on every new received triggering condition. In case of concurrent triggering conditions, the UE shall determine the status of the per-</w:t>
      </w:r>
      <w:r>
        <w:rPr>
          <w:color w:val="FF0000"/>
          <w:lang w:eastAsia="zh-CN"/>
        </w:rPr>
        <w:t>UE</w:t>
      </w:r>
      <w:r w:rsidRPr="009064BE">
        <w:rPr>
          <w:color w:val="FF0000"/>
          <w:lang w:eastAsia="zh-CN"/>
        </w:rPr>
        <w:t xml:space="preserve"> Pre-MG pattern based on all these triggering conditions.</w:t>
      </w:r>
    </w:p>
    <w:p w14:paraId="5997B632" w14:textId="77777777" w:rsidR="009064BE" w:rsidRPr="009064BE" w:rsidRDefault="009064BE" w:rsidP="009064B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r w:rsidRPr="009064BE">
        <w:rPr>
          <w:color w:val="FF0000"/>
          <w:lang w:eastAsia="zh-CN"/>
        </w:rPr>
        <w:t>The UE shall determine the status of the per-FR Pre-MG pattern based on every new received triggering condition. In case of concurrent triggering conditions, the UE shall determine the status of the per-FR Pre-MG pattern based on all these triggering conditions.</w:t>
      </w:r>
    </w:p>
    <w:p w14:paraId="3393DF26" w14:textId="3A670276" w:rsidR="009064BE" w:rsidRPr="009064BE" w:rsidRDefault="009064BE" w:rsidP="009064BE">
      <w:pPr>
        <w:overflowPunct w:val="0"/>
        <w:autoSpaceDE w:val="0"/>
        <w:autoSpaceDN w:val="0"/>
        <w:adjustRightInd w:val="0"/>
        <w:spacing w:before="120" w:after="60"/>
        <w:rPr>
          <w:color w:val="000000" w:themeColor="text1"/>
          <w:u w:val="single"/>
          <w:lang w:val="en-GB" w:eastAsia="zh-CN"/>
        </w:rPr>
      </w:pPr>
      <w:r w:rsidRPr="009064BE">
        <w:rPr>
          <w:color w:val="000000" w:themeColor="text1"/>
          <w:u w:val="single"/>
          <w:lang w:val="en-GB" w:eastAsia="zh-CN"/>
        </w:rPr>
        <w:t>For Pre-MG activation:</w:t>
      </w:r>
    </w:p>
    <w:p w14:paraId="0F64CD87" w14:textId="77777777" w:rsidR="009064BE" w:rsidRDefault="009064BE" w:rsidP="009064BE">
      <w:pPr>
        <w:rPr>
          <w:color w:val="FF0000"/>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w:t>
      </w:r>
      <w:r w:rsidRPr="009064BE">
        <w:rPr>
          <w:color w:val="FF0000"/>
          <w:lang w:eastAsia="zh-CN"/>
        </w:rPr>
        <w:t>The UE shall determine the status of the per-</w:t>
      </w:r>
      <w:r>
        <w:rPr>
          <w:color w:val="FF0000"/>
          <w:lang w:eastAsia="zh-CN"/>
        </w:rPr>
        <w:t>UE</w:t>
      </w:r>
      <w:r w:rsidRPr="009064BE">
        <w:rPr>
          <w:color w:val="FF0000"/>
          <w:lang w:eastAsia="zh-CN"/>
        </w:rPr>
        <w:t xml:space="preserve"> Pre-MG pattern based on every new received triggering condition. In case of concurrent triggering conditions, the UE shall determine the status of the per-</w:t>
      </w:r>
      <w:r>
        <w:rPr>
          <w:color w:val="FF0000"/>
          <w:lang w:eastAsia="zh-CN"/>
        </w:rPr>
        <w:t>UE</w:t>
      </w:r>
      <w:r w:rsidRPr="009064BE">
        <w:rPr>
          <w:color w:val="FF0000"/>
          <w:lang w:eastAsia="zh-CN"/>
        </w:rPr>
        <w:t xml:space="preserve"> Pre-MG pattern based on all these triggering conditions.</w:t>
      </w:r>
    </w:p>
    <w:p w14:paraId="5EBC5BD0" w14:textId="4A09C09C" w:rsidR="009064BE" w:rsidRPr="00B22C56" w:rsidRDefault="009064BE" w:rsidP="009064B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r w:rsidRPr="009064BE">
        <w:rPr>
          <w:color w:val="FF0000"/>
          <w:lang w:eastAsia="zh-CN"/>
        </w:rPr>
        <w:t>The UE shall determine the status of the per-</w:t>
      </w:r>
      <w:r w:rsidR="002F71D6">
        <w:rPr>
          <w:color w:val="FF0000"/>
          <w:lang w:eastAsia="zh-CN"/>
        </w:rPr>
        <w:t>FR</w:t>
      </w:r>
      <w:r w:rsidRPr="009064BE">
        <w:rPr>
          <w:color w:val="FF0000"/>
          <w:lang w:eastAsia="zh-CN"/>
        </w:rPr>
        <w:t xml:space="preserve"> Pre-MG pattern based on every new received triggering condition. In case of concurrent triggering conditions, the UE shall determine the status of the per-</w:t>
      </w:r>
      <w:r w:rsidR="002F71D6">
        <w:rPr>
          <w:color w:val="FF0000"/>
          <w:lang w:eastAsia="zh-CN"/>
        </w:rPr>
        <w:t>FR</w:t>
      </w:r>
      <w:r w:rsidRPr="009064BE">
        <w:rPr>
          <w:color w:val="FF0000"/>
          <w:lang w:eastAsia="zh-CN"/>
        </w:rPr>
        <w:t xml:space="preserve"> Pre-MG pattern based on all these triggering conditions.</w:t>
      </w:r>
    </w:p>
    <w:p w14:paraId="761516E1" w14:textId="62696686" w:rsidR="00CD7492" w:rsidRPr="001433B1" w:rsidRDefault="00CD7492" w:rsidP="00A37002">
      <w:pPr>
        <w:pStyle w:val="RAN4H1"/>
      </w:pPr>
      <w:r w:rsidRPr="001433B1">
        <w:t>Conclusion</w:t>
      </w:r>
    </w:p>
    <w:p w14:paraId="5F5221B2" w14:textId="6DEB2477" w:rsidR="00EF3696" w:rsidRPr="00EF3696" w:rsidRDefault="002F71D6" w:rsidP="00D113F6">
      <w:r>
        <w:rPr>
          <w:rFonts w:eastAsia="Calibri" w:cs="Times New Roman"/>
          <w:szCs w:val="20"/>
          <w:lang w:val="en-GB"/>
        </w:rPr>
        <w:t xml:space="preserve">In this contribution we addressed the open issue of multiple trigger events for rule-based Pre-MG activation / deactivation and propose </w:t>
      </w:r>
      <w:r w:rsidR="00F8325B">
        <w:rPr>
          <w:rFonts w:eastAsia="Calibri" w:cs="Times New Roman"/>
          <w:szCs w:val="20"/>
          <w:lang w:val="en-GB"/>
        </w:rPr>
        <w:t xml:space="preserve">to specify </w:t>
      </w:r>
      <w:r>
        <w:rPr>
          <w:rFonts w:eastAsia="Calibri" w:cs="Times New Roman"/>
          <w:szCs w:val="20"/>
          <w:lang w:val="en-GB"/>
        </w:rPr>
        <w:t xml:space="preserve">changes as depicted in section 2 to clause 9.1.7.3.1. </w:t>
      </w:r>
    </w:p>
    <w:p w14:paraId="232E15B3" w14:textId="4CFE40C1" w:rsidR="00BB70B9" w:rsidRPr="00BB70B9" w:rsidRDefault="008E6FD8" w:rsidP="00BB70B9">
      <w:pPr>
        <w:rPr>
          <w:lang w:val="en-GB"/>
        </w:rPr>
      </w:pPr>
      <w:r w:rsidRPr="001433B1">
        <w:rPr>
          <w:lang w:val="en-GB"/>
        </w:rPr>
        <w:t>Following proposal</w:t>
      </w:r>
      <w:r w:rsidR="002F71D6">
        <w:rPr>
          <w:lang w:val="en-GB"/>
        </w:rPr>
        <w:t xml:space="preserve"> is</w:t>
      </w:r>
      <w:r w:rsidRPr="001433B1">
        <w:rPr>
          <w:lang w:val="en-GB"/>
        </w:rPr>
        <w:t xml:space="preserve"> made</w:t>
      </w:r>
      <w:r w:rsidR="00305CDD" w:rsidRPr="001433B1">
        <w:rPr>
          <w:lang w:val="en-GB"/>
        </w:rPr>
        <w:t>:</w:t>
      </w:r>
    </w:p>
    <w:p w14:paraId="549E04F9" w14:textId="61A21DE0" w:rsidR="00ED4EC5" w:rsidRPr="002F71D6" w:rsidRDefault="00526DC3" w:rsidP="002F71D6">
      <w:pPr>
        <w:pStyle w:val="RAN4proposal"/>
        <w:spacing w:after="120"/>
        <w:ind w:left="1134" w:hanging="1134"/>
        <w:rPr>
          <w:rFonts w:eastAsia="Times New Roman" w:cs="Times New Roman"/>
          <w:szCs w:val="20"/>
          <w:lang w:val="en-GB"/>
        </w:rPr>
      </w:pPr>
      <w:r w:rsidRPr="00622C68">
        <w:tab/>
      </w:r>
      <w:r w:rsidR="002F71D6">
        <w:t xml:space="preserve">Specify the proposed changes in section 2 in clause </w:t>
      </w:r>
      <w:r w:rsidR="002F71D6">
        <w:rPr>
          <w:rFonts w:eastAsia="Calibri" w:cs="Times New Roman"/>
          <w:szCs w:val="20"/>
          <w:lang w:val="en-GB"/>
        </w:rPr>
        <w:t>9.1.7.3.1.</w:t>
      </w:r>
    </w:p>
    <w:p w14:paraId="3DAFBD41" w14:textId="77777777" w:rsidR="003B659E" w:rsidRPr="001433B1" w:rsidRDefault="003B659E" w:rsidP="0008612A">
      <w:pPr>
        <w:pStyle w:val="RAN4H1"/>
      </w:pPr>
      <w:r w:rsidRPr="001433B1">
        <w:t>References</w:t>
      </w:r>
    </w:p>
    <w:p w14:paraId="276B483F" w14:textId="7C20A1F0" w:rsidR="000F7AED" w:rsidRPr="000F7AED" w:rsidRDefault="006E63E5"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bookmarkStart w:id="2" w:name="_Ref431017336"/>
      <w:r w:rsidRPr="001433B1">
        <w:rPr>
          <w:rFonts w:eastAsia="Times New Roman" w:cs="Times New Roman"/>
          <w:szCs w:val="20"/>
          <w:lang w:val="en-GB"/>
        </w:rPr>
        <w:t>RP-20</w:t>
      </w:r>
      <w:r w:rsidR="000F7AED">
        <w:rPr>
          <w:rFonts w:eastAsia="Times New Roman" w:cs="Times New Roman"/>
          <w:szCs w:val="20"/>
          <w:lang w:val="en-GB"/>
        </w:rPr>
        <w:t>3</w:t>
      </w:r>
      <w:r w:rsidR="00527F24" w:rsidRPr="001433B1">
        <w:rPr>
          <w:rFonts w:eastAsia="Times New Roman" w:cs="Times New Roman"/>
          <w:szCs w:val="20"/>
          <w:lang w:val="en-GB"/>
        </w:rPr>
        <w:t>658</w:t>
      </w:r>
      <w:r w:rsidR="003B659E" w:rsidRPr="001433B1">
        <w:rPr>
          <w:rFonts w:eastAsia="Times New Roman" w:cs="Times New Roman"/>
          <w:szCs w:val="20"/>
          <w:lang w:val="en-GB"/>
        </w:rPr>
        <w:t xml:space="preserve">, </w:t>
      </w:r>
      <w:r w:rsidR="00527F24" w:rsidRPr="001433B1">
        <w:rPr>
          <w:rFonts w:eastAsia="Times New Roman" w:cs="Times New Roman"/>
          <w:bCs/>
          <w:szCs w:val="20"/>
          <w:lang w:val="en-GB"/>
        </w:rPr>
        <w:t>Revised</w:t>
      </w:r>
      <w:r w:rsidRPr="001433B1">
        <w:rPr>
          <w:rFonts w:eastAsia="Times New Roman" w:cs="Times New Roman"/>
          <w:bCs/>
          <w:szCs w:val="20"/>
          <w:lang w:val="en-GB"/>
        </w:rPr>
        <w:t xml:space="preserve"> WI</w:t>
      </w:r>
      <w:r w:rsidR="00527F24" w:rsidRPr="001433B1">
        <w:rPr>
          <w:rFonts w:eastAsia="Times New Roman" w:cs="Times New Roman"/>
          <w:bCs/>
          <w:szCs w:val="20"/>
          <w:lang w:val="en-GB"/>
        </w:rPr>
        <w:t>D</w:t>
      </w:r>
      <w:r w:rsidRPr="001433B1">
        <w:rPr>
          <w:rFonts w:eastAsia="Times New Roman" w:cs="Times New Roman"/>
          <w:bCs/>
          <w:szCs w:val="20"/>
          <w:lang w:val="en-GB"/>
        </w:rPr>
        <w:t xml:space="preserve"> </w:t>
      </w:r>
      <w:r w:rsidR="00527F24" w:rsidRPr="001433B1">
        <w:rPr>
          <w:rFonts w:eastAsia="Times New Roman" w:cs="Times New Roman"/>
          <w:bCs/>
          <w:szCs w:val="20"/>
          <w:lang w:val="en-GB"/>
        </w:rPr>
        <w:t>on NR and MR-DC measurement gap enhancements</w:t>
      </w:r>
      <w:r w:rsidR="003B659E" w:rsidRPr="001433B1">
        <w:rPr>
          <w:rFonts w:eastAsia="Times New Roman" w:cs="Times New Roman"/>
          <w:szCs w:val="20"/>
          <w:lang w:val="en-GB"/>
        </w:rPr>
        <w:t xml:space="preserve">, </w:t>
      </w:r>
      <w:r w:rsidRPr="001433B1">
        <w:rPr>
          <w:rFonts w:eastAsia="Times New Roman" w:cs="Times New Roman"/>
          <w:szCs w:val="20"/>
          <w:lang w:val="en-GB"/>
        </w:rPr>
        <w:t>Intel Corporation, MediaTek Inc.</w:t>
      </w:r>
      <w:bookmarkEnd w:id="2"/>
    </w:p>
    <w:p w14:paraId="7BF34BA9" w14:textId="6ABA993D" w:rsidR="00687FA0" w:rsidRDefault="00FB1C61"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FB1C61">
        <w:rPr>
          <w:rFonts w:eastAsia="Times New Roman" w:cs="Times New Roman"/>
          <w:szCs w:val="20"/>
          <w:lang w:val="en-GB"/>
        </w:rPr>
        <w:t>R4-2206883, WF on R17 NR MG enhancements – Pre-configured MG</w:t>
      </w:r>
      <w:r w:rsidR="006E63E5" w:rsidRPr="001433B1">
        <w:rPr>
          <w:rFonts w:eastAsia="Times New Roman" w:cs="Times New Roman"/>
          <w:szCs w:val="20"/>
          <w:lang w:val="en-GB"/>
        </w:rPr>
        <w:t>,</w:t>
      </w:r>
      <w:r w:rsidR="00FA189B" w:rsidRPr="001433B1">
        <w:rPr>
          <w:rFonts w:eastAsia="Times New Roman" w:cs="Times New Roman"/>
          <w:szCs w:val="20"/>
          <w:lang w:val="en-GB"/>
        </w:rPr>
        <w:t xml:space="preserve"> </w:t>
      </w:r>
      <w:r w:rsidR="006E63E5" w:rsidRPr="001433B1">
        <w:rPr>
          <w:rFonts w:eastAsia="Times New Roman" w:cs="Times New Roman"/>
          <w:szCs w:val="20"/>
          <w:lang w:val="en-GB"/>
        </w:rPr>
        <w:t>Intel</w:t>
      </w:r>
    </w:p>
    <w:p w14:paraId="6F4534C9" w14:textId="4E4348C2" w:rsidR="00DA2FF8" w:rsidRPr="002F71D6" w:rsidRDefault="008B7891"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8B7891">
        <w:rPr>
          <w:rFonts w:eastAsia="Times New Roman" w:cs="Times New Roman"/>
          <w:color w:val="000000" w:themeColor="text1"/>
        </w:rPr>
        <w:t>R4-220</w:t>
      </w:r>
      <w:r w:rsidR="00FB1C61">
        <w:rPr>
          <w:rFonts w:eastAsia="Times New Roman" w:cs="Times New Roman"/>
          <w:color w:val="000000" w:themeColor="text1"/>
        </w:rPr>
        <w:t>7059</w:t>
      </w:r>
      <w:r w:rsidR="00D113F6" w:rsidRPr="00DA2FF8">
        <w:rPr>
          <w:rFonts w:eastAsia="Times New Roman" w:cs="Times New Roman"/>
          <w:color w:val="000000" w:themeColor="text1"/>
        </w:rPr>
        <w:t>, Email discussion summary for [10</w:t>
      </w:r>
      <w:r w:rsidR="00FB1C61">
        <w:rPr>
          <w:rFonts w:eastAsia="Times New Roman" w:cs="Times New Roman"/>
          <w:color w:val="000000" w:themeColor="text1"/>
        </w:rPr>
        <w:t>2</w:t>
      </w:r>
      <w:r>
        <w:rPr>
          <w:rFonts w:eastAsia="Times New Roman" w:cs="Times New Roman"/>
          <w:color w:val="000000" w:themeColor="text1"/>
        </w:rPr>
        <w:t>-</w:t>
      </w:r>
      <w:r w:rsidR="00D113F6" w:rsidRPr="00DA2FF8">
        <w:rPr>
          <w:rFonts w:eastAsia="Times New Roman" w:cs="Times New Roman"/>
          <w:color w:val="000000" w:themeColor="text1"/>
        </w:rPr>
        <w:t>e][2</w:t>
      </w:r>
      <w:r>
        <w:rPr>
          <w:rFonts w:eastAsia="Times New Roman" w:cs="Times New Roman"/>
          <w:color w:val="000000" w:themeColor="text1"/>
        </w:rPr>
        <w:t>1</w:t>
      </w:r>
      <w:r w:rsidR="00FB1C61">
        <w:rPr>
          <w:rFonts w:eastAsia="Times New Roman" w:cs="Times New Roman"/>
          <w:color w:val="000000" w:themeColor="text1"/>
        </w:rPr>
        <w:t>8</w:t>
      </w:r>
      <w:r w:rsidR="00D113F6" w:rsidRPr="00DA2FF8">
        <w:rPr>
          <w:rFonts w:eastAsia="Times New Roman" w:cs="Times New Roman"/>
          <w:color w:val="000000" w:themeColor="text1"/>
        </w:rPr>
        <w:t>] NR_MG_Part_2, Moderator (Intel Corporation)</w:t>
      </w:r>
    </w:p>
    <w:sectPr w:rsidR="00DA2FF8" w:rsidRPr="002F71D6"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1C39" w14:textId="77777777" w:rsidR="00FB2E9A" w:rsidRDefault="00FB2E9A" w:rsidP="00001C9B">
      <w:pPr>
        <w:spacing w:after="0" w:line="240" w:lineRule="auto"/>
      </w:pPr>
      <w:r>
        <w:separator/>
      </w:r>
    </w:p>
  </w:endnote>
  <w:endnote w:type="continuationSeparator" w:id="0">
    <w:p w14:paraId="3A2B9180" w14:textId="77777777" w:rsidR="00FB2E9A" w:rsidRDefault="00FB2E9A" w:rsidP="00001C9B">
      <w:pPr>
        <w:spacing w:after="0" w:line="240" w:lineRule="auto"/>
      </w:pPr>
      <w:r>
        <w:continuationSeparator/>
      </w:r>
    </w:p>
  </w:endnote>
  <w:endnote w:type="continuationNotice" w:id="1">
    <w:p w14:paraId="3D20116A" w14:textId="77777777" w:rsidR="00FB2E9A" w:rsidRDefault="00FB2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6332102"/>
      <w:docPartObj>
        <w:docPartGallery w:val="Page Numbers (Bottom of Page)"/>
        <w:docPartUnique/>
      </w:docPartObj>
    </w:sdtPr>
    <w:sdtEndPr>
      <w:rPr>
        <w:noProof/>
      </w:rPr>
    </w:sdtEndPr>
    <w:sdtContent>
      <w:p w14:paraId="1AC9527B" w14:textId="70B29CE5" w:rsidR="00FB2E9A" w:rsidRDefault="00FB2E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FB2E9A" w:rsidRDefault="00FB2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E5AF" w14:textId="77777777" w:rsidR="00FB2E9A" w:rsidRDefault="00FB2E9A" w:rsidP="00001C9B">
      <w:pPr>
        <w:spacing w:after="0" w:line="240" w:lineRule="auto"/>
      </w:pPr>
      <w:r>
        <w:separator/>
      </w:r>
    </w:p>
  </w:footnote>
  <w:footnote w:type="continuationSeparator" w:id="0">
    <w:p w14:paraId="4D4FADCC" w14:textId="77777777" w:rsidR="00FB2E9A" w:rsidRDefault="00FB2E9A" w:rsidP="00001C9B">
      <w:pPr>
        <w:spacing w:after="0" w:line="240" w:lineRule="auto"/>
      </w:pPr>
      <w:r>
        <w:continuationSeparator/>
      </w:r>
    </w:p>
  </w:footnote>
  <w:footnote w:type="continuationNotice" w:id="1">
    <w:p w14:paraId="08AA6737" w14:textId="77777777" w:rsidR="00FB2E9A" w:rsidRDefault="00FB2E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7753B3"/>
    <w:multiLevelType w:val="hybridMultilevel"/>
    <w:tmpl w:val="6A7A2E70"/>
    <w:lvl w:ilvl="0" w:tplc="1F406254">
      <w:start w:val="1"/>
      <w:numFmt w:val="bullet"/>
      <w:lvlText w:val="•"/>
      <w:lvlJc w:val="left"/>
      <w:pPr>
        <w:ind w:left="1434" w:hanging="360"/>
      </w:pPr>
      <w:rPr>
        <w:rFonts w:ascii="Arial" w:hAnsi="Arial" w:hint="default"/>
        <w:color w:val="000000" w:themeColor="text1"/>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 w15:restartNumberingAfterBreak="0">
    <w:nsid w:val="0B33565F"/>
    <w:multiLevelType w:val="hybridMultilevel"/>
    <w:tmpl w:val="1706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31A706EE"/>
    <w:multiLevelType w:val="multilevel"/>
    <w:tmpl w:val="074EA4A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407773"/>
    <w:multiLevelType w:val="hybridMultilevel"/>
    <w:tmpl w:val="0D34D0B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7A1FAF"/>
    <w:multiLevelType w:val="hybridMultilevel"/>
    <w:tmpl w:val="4D82DA30"/>
    <w:lvl w:ilvl="0" w:tplc="1F40625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2215" w:hanging="360"/>
      </w:pPr>
    </w:lvl>
    <w:lvl w:ilvl="2" w:tplc="0409001B">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6B7086"/>
    <w:multiLevelType w:val="multilevel"/>
    <w:tmpl w:val="B92A0E5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97489A"/>
    <w:multiLevelType w:val="multilevel"/>
    <w:tmpl w:val="FE64063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C812EB"/>
    <w:multiLevelType w:val="multilevel"/>
    <w:tmpl w:val="F41205B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9721A7"/>
    <w:multiLevelType w:val="multilevel"/>
    <w:tmpl w:val="7078393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9"/>
  </w:num>
  <w:num w:numId="4">
    <w:abstractNumId w:val="13"/>
  </w:num>
  <w:num w:numId="5">
    <w:abstractNumId w:val="20"/>
  </w:num>
  <w:num w:numId="6">
    <w:abstractNumId w:val="8"/>
  </w:num>
  <w:num w:numId="7">
    <w:abstractNumId w:val="0"/>
  </w:num>
  <w:num w:numId="8">
    <w:abstractNumId w:val="22"/>
  </w:num>
  <w:num w:numId="9">
    <w:abstractNumId w:val="4"/>
  </w:num>
  <w:num w:numId="10">
    <w:abstractNumId w:val="16"/>
  </w:num>
  <w:num w:numId="11">
    <w:abstractNumId w:val="26"/>
  </w:num>
  <w:num w:numId="1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0"/>
  </w:num>
  <w:num w:numId="15">
    <w:abstractNumId w:val="24"/>
  </w:num>
  <w:num w:numId="16">
    <w:abstractNumId w:val="23"/>
  </w:num>
  <w:num w:numId="17">
    <w:abstractNumId w:val="6"/>
  </w:num>
  <w:num w:numId="18">
    <w:abstractNumId w:val="17"/>
  </w:num>
  <w:num w:numId="19">
    <w:abstractNumId w:val="27"/>
  </w:num>
  <w:num w:numId="20">
    <w:abstractNumId w:val="12"/>
  </w:num>
  <w:num w:numId="21">
    <w:abstractNumId w:val="13"/>
    <w:lvlOverride w:ilvl="0">
      <w:startOverride w:val="1"/>
    </w:lvlOverride>
  </w:num>
  <w:num w:numId="22">
    <w:abstractNumId w:val="2"/>
  </w:num>
  <w:num w:numId="23">
    <w:abstractNumId w:val="11"/>
  </w:num>
  <w:num w:numId="24">
    <w:abstractNumId w:val="13"/>
    <w:lvlOverride w:ilvl="0">
      <w:startOverride w:val="1"/>
    </w:lvlOverride>
  </w:num>
  <w:num w:numId="25">
    <w:abstractNumId w:val="15"/>
  </w:num>
  <w:num w:numId="26">
    <w:abstractNumId w:val="19"/>
  </w:num>
  <w:num w:numId="27">
    <w:abstractNumId w:val="18"/>
  </w:num>
  <w:num w:numId="28">
    <w:abstractNumId w:val="5"/>
  </w:num>
  <w:num w:numId="29">
    <w:abstractNumId w:val="28"/>
  </w:num>
  <w:num w:numId="30">
    <w:abstractNumId w:val="21"/>
  </w:num>
  <w:num w:numId="3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467"/>
    <w:rsid w:val="000132EC"/>
    <w:rsid w:val="00015F39"/>
    <w:rsid w:val="0002711C"/>
    <w:rsid w:val="0002752B"/>
    <w:rsid w:val="000449C8"/>
    <w:rsid w:val="000462F5"/>
    <w:rsid w:val="00066DCA"/>
    <w:rsid w:val="000719BB"/>
    <w:rsid w:val="00080766"/>
    <w:rsid w:val="00080CFA"/>
    <w:rsid w:val="0008612A"/>
    <w:rsid w:val="00087DD9"/>
    <w:rsid w:val="00091555"/>
    <w:rsid w:val="000962E1"/>
    <w:rsid w:val="000A576C"/>
    <w:rsid w:val="000B0056"/>
    <w:rsid w:val="000B17AB"/>
    <w:rsid w:val="000C4BF9"/>
    <w:rsid w:val="000D551A"/>
    <w:rsid w:val="000E0F2E"/>
    <w:rsid w:val="000E2631"/>
    <w:rsid w:val="000E2E9B"/>
    <w:rsid w:val="000F2C27"/>
    <w:rsid w:val="000F7AED"/>
    <w:rsid w:val="00100B68"/>
    <w:rsid w:val="00100DCC"/>
    <w:rsid w:val="0010106D"/>
    <w:rsid w:val="001065ED"/>
    <w:rsid w:val="0010671C"/>
    <w:rsid w:val="001127C7"/>
    <w:rsid w:val="00113628"/>
    <w:rsid w:val="0011692A"/>
    <w:rsid w:val="00117FDE"/>
    <w:rsid w:val="001202F2"/>
    <w:rsid w:val="0012482E"/>
    <w:rsid w:val="00131463"/>
    <w:rsid w:val="00136125"/>
    <w:rsid w:val="00136D9E"/>
    <w:rsid w:val="00141D43"/>
    <w:rsid w:val="001433B1"/>
    <w:rsid w:val="00145AD4"/>
    <w:rsid w:val="00147726"/>
    <w:rsid w:val="00147D66"/>
    <w:rsid w:val="00147DA4"/>
    <w:rsid w:val="001505C3"/>
    <w:rsid w:val="0015298F"/>
    <w:rsid w:val="00153197"/>
    <w:rsid w:val="00153B6F"/>
    <w:rsid w:val="00154432"/>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54E8"/>
    <w:rsid w:val="001B7B89"/>
    <w:rsid w:val="001C2F6D"/>
    <w:rsid w:val="001C48A4"/>
    <w:rsid w:val="001C5A8E"/>
    <w:rsid w:val="001D6D80"/>
    <w:rsid w:val="001D758E"/>
    <w:rsid w:val="001E30F6"/>
    <w:rsid w:val="001F3BFB"/>
    <w:rsid w:val="001F455D"/>
    <w:rsid w:val="002002F1"/>
    <w:rsid w:val="00202C59"/>
    <w:rsid w:val="002079FF"/>
    <w:rsid w:val="00211FD3"/>
    <w:rsid w:val="00217328"/>
    <w:rsid w:val="00222989"/>
    <w:rsid w:val="002327C9"/>
    <w:rsid w:val="00235F5C"/>
    <w:rsid w:val="0024397F"/>
    <w:rsid w:val="00243A54"/>
    <w:rsid w:val="00243A6E"/>
    <w:rsid w:val="00246269"/>
    <w:rsid w:val="00250EE3"/>
    <w:rsid w:val="0025642A"/>
    <w:rsid w:val="00257A8D"/>
    <w:rsid w:val="00260784"/>
    <w:rsid w:val="00262358"/>
    <w:rsid w:val="0026235C"/>
    <w:rsid w:val="00274C13"/>
    <w:rsid w:val="00281503"/>
    <w:rsid w:val="0028308B"/>
    <w:rsid w:val="00285330"/>
    <w:rsid w:val="00285B38"/>
    <w:rsid w:val="00285EF4"/>
    <w:rsid w:val="002903A6"/>
    <w:rsid w:val="00290DCF"/>
    <w:rsid w:val="00295951"/>
    <w:rsid w:val="00295EAF"/>
    <w:rsid w:val="002978D8"/>
    <w:rsid w:val="002A2459"/>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2F71D6"/>
    <w:rsid w:val="00300CBA"/>
    <w:rsid w:val="00303DEF"/>
    <w:rsid w:val="00305CDD"/>
    <w:rsid w:val="00314D9A"/>
    <w:rsid w:val="003154A4"/>
    <w:rsid w:val="00316F3F"/>
    <w:rsid w:val="00322555"/>
    <w:rsid w:val="00332F42"/>
    <w:rsid w:val="00334927"/>
    <w:rsid w:val="0035158C"/>
    <w:rsid w:val="0035437D"/>
    <w:rsid w:val="003600E4"/>
    <w:rsid w:val="00362581"/>
    <w:rsid w:val="00363CF1"/>
    <w:rsid w:val="00365555"/>
    <w:rsid w:val="00373197"/>
    <w:rsid w:val="00380B55"/>
    <w:rsid w:val="00386221"/>
    <w:rsid w:val="003B2107"/>
    <w:rsid w:val="003B659E"/>
    <w:rsid w:val="003C3E1B"/>
    <w:rsid w:val="003D2F93"/>
    <w:rsid w:val="003D3623"/>
    <w:rsid w:val="003E48A6"/>
    <w:rsid w:val="00403F79"/>
    <w:rsid w:val="00406C66"/>
    <w:rsid w:val="004150B1"/>
    <w:rsid w:val="004178ED"/>
    <w:rsid w:val="004179C9"/>
    <w:rsid w:val="00417AA0"/>
    <w:rsid w:val="004245B4"/>
    <w:rsid w:val="0043750A"/>
    <w:rsid w:val="004443F1"/>
    <w:rsid w:val="00445154"/>
    <w:rsid w:val="00451E53"/>
    <w:rsid w:val="004610FD"/>
    <w:rsid w:val="004632CC"/>
    <w:rsid w:val="00467E36"/>
    <w:rsid w:val="00470BFD"/>
    <w:rsid w:val="00472D15"/>
    <w:rsid w:val="0049573B"/>
    <w:rsid w:val="004A2E93"/>
    <w:rsid w:val="004A653A"/>
    <w:rsid w:val="004B27C5"/>
    <w:rsid w:val="004B3279"/>
    <w:rsid w:val="004B3F59"/>
    <w:rsid w:val="004B77B8"/>
    <w:rsid w:val="004B78E5"/>
    <w:rsid w:val="004B7B4A"/>
    <w:rsid w:val="004C24DF"/>
    <w:rsid w:val="004C41EF"/>
    <w:rsid w:val="004C4558"/>
    <w:rsid w:val="004E0B6E"/>
    <w:rsid w:val="004E0E8E"/>
    <w:rsid w:val="004E106E"/>
    <w:rsid w:val="004E2C8D"/>
    <w:rsid w:val="004E5E66"/>
    <w:rsid w:val="004E7B6A"/>
    <w:rsid w:val="004F01C7"/>
    <w:rsid w:val="004F518D"/>
    <w:rsid w:val="005032B2"/>
    <w:rsid w:val="00503B4D"/>
    <w:rsid w:val="00504EE9"/>
    <w:rsid w:val="00526DC3"/>
    <w:rsid w:val="00527F24"/>
    <w:rsid w:val="005301CA"/>
    <w:rsid w:val="00535A1B"/>
    <w:rsid w:val="00535CC2"/>
    <w:rsid w:val="005433E0"/>
    <w:rsid w:val="00543A7E"/>
    <w:rsid w:val="0054442C"/>
    <w:rsid w:val="00545586"/>
    <w:rsid w:val="00550285"/>
    <w:rsid w:val="00553D08"/>
    <w:rsid w:val="0055405D"/>
    <w:rsid w:val="0056048F"/>
    <w:rsid w:val="00563D4D"/>
    <w:rsid w:val="00563E31"/>
    <w:rsid w:val="005676EB"/>
    <w:rsid w:val="00567B59"/>
    <w:rsid w:val="0057387F"/>
    <w:rsid w:val="00577E81"/>
    <w:rsid w:val="005818AB"/>
    <w:rsid w:val="005836F8"/>
    <w:rsid w:val="00586815"/>
    <w:rsid w:val="00590904"/>
    <w:rsid w:val="005918FA"/>
    <w:rsid w:val="005A1EDB"/>
    <w:rsid w:val="005A2205"/>
    <w:rsid w:val="005A29AC"/>
    <w:rsid w:val="005A4E57"/>
    <w:rsid w:val="005B39A5"/>
    <w:rsid w:val="005B428D"/>
    <w:rsid w:val="005B6FD5"/>
    <w:rsid w:val="005B704F"/>
    <w:rsid w:val="005D0D78"/>
    <w:rsid w:val="005D1934"/>
    <w:rsid w:val="005D493B"/>
    <w:rsid w:val="005D6057"/>
    <w:rsid w:val="005E3125"/>
    <w:rsid w:val="005E51F9"/>
    <w:rsid w:val="005E61A8"/>
    <w:rsid w:val="005E76AE"/>
    <w:rsid w:val="005F2161"/>
    <w:rsid w:val="005F62E6"/>
    <w:rsid w:val="005F6419"/>
    <w:rsid w:val="005F6783"/>
    <w:rsid w:val="0061569F"/>
    <w:rsid w:val="00617400"/>
    <w:rsid w:val="00622C68"/>
    <w:rsid w:val="006310CE"/>
    <w:rsid w:val="00632912"/>
    <w:rsid w:val="00636DF5"/>
    <w:rsid w:val="00643736"/>
    <w:rsid w:val="00661A72"/>
    <w:rsid w:val="00663705"/>
    <w:rsid w:val="00664950"/>
    <w:rsid w:val="00666077"/>
    <w:rsid w:val="006708A2"/>
    <w:rsid w:val="00670A01"/>
    <w:rsid w:val="00683220"/>
    <w:rsid w:val="006838BD"/>
    <w:rsid w:val="00684961"/>
    <w:rsid w:val="0068498D"/>
    <w:rsid w:val="00687FA0"/>
    <w:rsid w:val="00693847"/>
    <w:rsid w:val="00693F66"/>
    <w:rsid w:val="006A10BC"/>
    <w:rsid w:val="006A4569"/>
    <w:rsid w:val="006A5D87"/>
    <w:rsid w:val="006B7010"/>
    <w:rsid w:val="006B73AB"/>
    <w:rsid w:val="006C7D58"/>
    <w:rsid w:val="006D010A"/>
    <w:rsid w:val="006D18C0"/>
    <w:rsid w:val="006D1BAF"/>
    <w:rsid w:val="006E63E5"/>
    <w:rsid w:val="006F29CC"/>
    <w:rsid w:val="00701EA3"/>
    <w:rsid w:val="00703B85"/>
    <w:rsid w:val="00707375"/>
    <w:rsid w:val="007145FF"/>
    <w:rsid w:val="00717B1B"/>
    <w:rsid w:val="007213AC"/>
    <w:rsid w:val="00721651"/>
    <w:rsid w:val="00726434"/>
    <w:rsid w:val="00726D56"/>
    <w:rsid w:val="007271E2"/>
    <w:rsid w:val="00732398"/>
    <w:rsid w:val="00732BD6"/>
    <w:rsid w:val="0074319B"/>
    <w:rsid w:val="00751515"/>
    <w:rsid w:val="0075208B"/>
    <w:rsid w:val="00753C2C"/>
    <w:rsid w:val="0075474E"/>
    <w:rsid w:val="00754E5F"/>
    <w:rsid w:val="00756195"/>
    <w:rsid w:val="0075708F"/>
    <w:rsid w:val="007616FC"/>
    <w:rsid w:val="00765F76"/>
    <w:rsid w:val="00774663"/>
    <w:rsid w:val="0077759B"/>
    <w:rsid w:val="00781E1D"/>
    <w:rsid w:val="00785232"/>
    <w:rsid w:val="00791BBF"/>
    <w:rsid w:val="00791D81"/>
    <w:rsid w:val="007A0EE8"/>
    <w:rsid w:val="007A1CED"/>
    <w:rsid w:val="007A3B4E"/>
    <w:rsid w:val="007A5B2C"/>
    <w:rsid w:val="007B27E0"/>
    <w:rsid w:val="007C3ED0"/>
    <w:rsid w:val="007C6848"/>
    <w:rsid w:val="007D1936"/>
    <w:rsid w:val="007D2D71"/>
    <w:rsid w:val="007D3EFC"/>
    <w:rsid w:val="007D6123"/>
    <w:rsid w:val="007D712B"/>
    <w:rsid w:val="007E04B8"/>
    <w:rsid w:val="007E0BE3"/>
    <w:rsid w:val="007E5A9E"/>
    <w:rsid w:val="007F47CA"/>
    <w:rsid w:val="00806A76"/>
    <w:rsid w:val="00811C9D"/>
    <w:rsid w:val="00816A79"/>
    <w:rsid w:val="00816C80"/>
    <w:rsid w:val="0083018C"/>
    <w:rsid w:val="0083048F"/>
    <w:rsid w:val="00841BCD"/>
    <w:rsid w:val="00856C77"/>
    <w:rsid w:val="0086009D"/>
    <w:rsid w:val="008606FB"/>
    <w:rsid w:val="00860DF3"/>
    <w:rsid w:val="00873184"/>
    <w:rsid w:val="008826C1"/>
    <w:rsid w:val="00886D17"/>
    <w:rsid w:val="00896DAB"/>
    <w:rsid w:val="00897390"/>
    <w:rsid w:val="008A1AD2"/>
    <w:rsid w:val="008A30F9"/>
    <w:rsid w:val="008A6955"/>
    <w:rsid w:val="008B3942"/>
    <w:rsid w:val="008B65DE"/>
    <w:rsid w:val="008B7891"/>
    <w:rsid w:val="008C1F46"/>
    <w:rsid w:val="008C6652"/>
    <w:rsid w:val="008D54FD"/>
    <w:rsid w:val="008D6F59"/>
    <w:rsid w:val="008E6FD8"/>
    <w:rsid w:val="008F2668"/>
    <w:rsid w:val="009042BD"/>
    <w:rsid w:val="009064BE"/>
    <w:rsid w:val="009079E2"/>
    <w:rsid w:val="0091208F"/>
    <w:rsid w:val="009124F1"/>
    <w:rsid w:val="0091389A"/>
    <w:rsid w:val="00914E56"/>
    <w:rsid w:val="00933319"/>
    <w:rsid w:val="00940441"/>
    <w:rsid w:val="009431F5"/>
    <w:rsid w:val="00943CBE"/>
    <w:rsid w:val="00954C98"/>
    <w:rsid w:val="009557A8"/>
    <w:rsid w:val="00962F23"/>
    <w:rsid w:val="0096482C"/>
    <w:rsid w:val="00971225"/>
    <w:rsid w:val="00971F52"/>
    <w:rsid w:val="0097490E"/>
    <w:rsid w:val="00975693"/>
    <w:rsid w:val="009769CE"/>
    <w:rsid w:val="00976BC1"/>
    <w:rsid w:val="00977E1D"/>
    <w:rsid w:val="00982D4B"/>
    <w:rsid w:val="00984AE7"/>
    <w:rsid w:val="009870BB"/>
    <w:rsid w:val="009B386A"/>
    <w:rsid w:val="009C003D"/>
    <w:rsid w:val="009C134D"/>
    <w:rsid w:val="009C6ED4"/>
    <w:rsid w:val="009D1A4A"/>
    <w:rsid w:val="009D2478"/>
    <w:rsid w:val="009D2E4C"/>
    <w:rsid w:val="009D46AF"/>
    <w:rsid w:val="009E1133"/>
    <w:rsid w:val="009F75EE"/>
    <w:rsid w:val="00A05465"/>
    <w:rsid w:val="00A10A1C"/>
    <w:rsid w:val="00A12714"/>
    <w:rsid w:val="00A14B96"/>
    <w:rsid w:val="00A14F0D"/>
    <w:rsid w:val="00A22B78"/>
    <w:rsid w:val="00A23A1E"/>
    <w:rsid w:val="00A25AE5"/>
    <w:rsid w:val="00A3547A"/>
    <w:rsid w:val="00A37002"/>
    <w:rsid w:val="00A42C16"/>
    <w:rsid w:val="00A44D98"/>
    <w:rsid w:val="00A534F7"/>
    <w:rsid w:val="00A556D8"/>
    <w:rsid w:val="00A602AE"/>
    <w:rsid w:val="00A6450C"/>
    <w:rsid w:val="00A704F9"/>
    <w:rsid w:val="00A817B9"/>
    <w:rsid w:val="00A9066B"/>
    <w:rsid w:val="00A9644B"/>
    <w:rsid w:val="00AA01F6"/>
    <w:rsid w:val="00AA1B0E"/>
    <w:rsid w:val="00AB5395"/>
    <w:rsid w:val="00AC2EEA"/>
    <w:rsid w:val="00AC51C9"/>
    <w:rsid w:val="00AC5CA7"/>
    <w:rsid w:val="00AD1A30"/>
    <w:rsid w:val="00AD2349"/>
    <w:rsid w:val="00AD3B5F"/>
    <w:rsid w:val="00AD3F09"/>
    <w:rsid w:val="00AD58AB"/>
    <w:rsid w:val="00AD6404"/>
    <w:rsid w:val="00AE24BB"/>
    <w:rsid w:val="00AE488B"/>
    <w:rsid w:val="00AE56B1"/>
    <w:rsid w:val="00AF3AFE"/>
    <w:rsid w:val="00B021C4"/>
    <w:rsid w:val="00B04908"/>
    <w:rsid w:val="00B05439"/>
    <w:rsid w:val="00B10414"/>
    <w:rsid w:val="00B109A9"/>
    <w:rsid w:val="00B151DA"/>
    <w:rsid w:val="00B21469"/>
    <w:rsid w:val="00B26C84"/>
    <w:rsid w:val="00B3373B"/>
    <w:rsid w:val="00B37089"/>
    <w:rsid w:val="00B40E2A"/>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331"/>
    <w:rsid w:val="00BB0F3E"/>
    <w:rsid w:val="00BB2E53"/>
    <w:rsid w:val="00BB5236"/>
    <w:rsid w:val="00BB70B9"/>
    <w:rsid w:val="00BD2AF1"/>
    <w:rsid w:val="00BD5B00"/>
    <w:rsid w:val="00BE1D2A"/>
    <w:rsid w:val="00BE459B"/>
    <w:rsid w:val="00BE4D65"/>
    <w:rsid w:val="00BF0C8A"/>
    <w:rsid w:val="00BF2218"/>
    <w:rsid w:val="00BF7764"/>
    <w:rsid w:val="00BF7C9A"/>
    <w:rsid w:val="00C114EF"/>
    <w:rsid w:val="00C14E4C"/>
    <w:rsid w:val="00C15605"/>
    <w:rsid w:val="00C167C8"/>
    <w:rsid w:val="00C20AD9"/>
    <w:rsid w:val="00C2268F"/>
    <w:rsid w:val="00C25456"/>
    <w:rsid w:val="00C26E5B"/>
    <w:rsid w:val="00C31E27"/>
    <w:rsid w:val="00C54416"/>
    <w:rsid w:val="00C60E47"/>
    <w:rsid w:val="00C673F9"/>
    <w:rsid w:val="00C67C40"/>
    <w:rsid w:val="00C72CCB"/>
    <w:rsid w:val="00C801DE"/>
    <w:rsid w:val="00C835DE"/>
    <w:rsid w:val="00C84260"/>
    <w:rsid w:val="00C86122"/>
    <w:rsid w:val="00C8738D"/>
    <w:rsid w:val="00C94120"/>
    <w:rsid w:val="00CA271F"/>
    <w:rsid w:val="00CA2FB5"/>
    <w:rsid w:val="00CB1737"/>
    <w:rsid w:val="00CB2940"/>
    <w:rsid w:val="00CB49CF"/>
    <w:rsid w:val="00CB5BFE"/>
    <w:rsid w:val="00CC1E69"/>
    <w:rsid w:val="00CC6D37"/>
    <w:rsid w:val="00CD0513"/>
    <w:rsid w:val="00CD7492"/>
    <w:rsid w:val="00CE3A6B"/>
    <w:rsid w:val="00CE5F79"/>
    <w:rsid w:val="00CE648B"/>
    <w:rsid w:val="00D00211"/>
    <w:rsid w:val="00D06192"/>
    <w:rsid w:val="00D06309"/>
    <w:rsid w:val="00D10B69"/>
    <w:rsid w:val="00D113F6"/>
    <w:rsid w:val="00D12326"/>
    <w:rsid w:val="00D13730"/>
    <w:rsid w:val="00D148B6"/>
    <w:rsid w:val="00D164F1"/>
    <w:rsid w:val="00D16914"/>
    <w:rsid w:val="00D21E7B"/>
    <w:rsid w:val="00D27872"/>
    <w:rsid w:val="00D302B9"/>
    <w:rsid w:val="00D34802"/>
    <w:rsid w:val="00D351EA"/>
    <w:rsid w:val="00D37F3F"/>
    <w:rsid w:val="00D43403"/>
    <w:rsid w:val="00D547F8"/>
    <w:rsid w:val="00D5580D"/>
    <w:rsid w:val="00D60DF3"/>
    <w:rsid w:val="00D62E71"/>
    <w:rsid w:val="00D740CA"/>
    <w:rsid w:val="00D76473"/>
    <w:rsid w:val="00D85728"/>
    <w:rsid w:val="00D946BA"/>
    <w:rsid w:val="00D96A01"/>
    <w:rsid w:val="00D97F4E"/>
    <w:rsid w:val="00DA2EF9"/>
    <w:rsid w:val="00DA2FF8"/>
    <w:rsid w:val="00DA5633"/>
    <w:rsid w:val="00DA606C"/>
    <w:rsid w:val="00DB564A"/>
    <w:rsid w:val="00DB7EDD"/>
    <w:rsid w:val="00DC1649"/>
    <w:rsid w:val="00DC4B8E"/>
    <w:rsid w:val="00DD3D32"/>
    <w:rsid w:val="00DD555A"/>
    <w:rsid w:val="00DF0610"/>
    <w:rsid w:val="00DF2997"/>
    <w:rsid w:val="00DF35CA"/>
    <w:rsid w:val="00DF7C62"/>
    <w:rsid w:val="00E00BFF"/>
    <w:rsid w:val="00E1053B"/>
    <w:rsid w:val="00E2321F"/>
    <w:rsid w:val="00E2498E"/>
    <w:rsid w:val="00E279DB"/>
    <w:rsid w:val="00E33C42"/>
    <w:rsid w:val="00E43440"/>
    <w:rsid w:val="00E53CF7"/>
    <w:rsid w:val="00E567E9"/>
    <w:rsid w:val="00E62085"/>
    <w:rsid w:val="00E91864"/>
    <w:rsid w:val="00E91995"/>
    <w:rsid w:val="00EA0812"/>
    <w:rsid w:val="00EA17AC"/>
    <w:rsid w:val="00EA5D7B"/>
    <w:rsid w:val="00EA6BCE"/>
    <w:rsid w:val="00EB1604"/>
    <w:rsid w:val="00EC2FCA"/>
    <w:rsid w:val="00EC7BC3"/>
    <w:rsid w:val="00ED4EC5"/>
    <w:rsid w:val="00ED7600"/>
    <w:rsid w:val="00EF0D62"/>
    <w:rsid w:val="00EF2A70"/>
    <w:rsid w:val="00EF3045"/>
    <w:rsid w:val="00EF3696"/>
    <w:rsid w:val="00F01266"/>
    <w:rsid w:val="00F01626"/>
    <w:rsid w:val="00F01A38"/>
    <w:rsid w:val="00F046A5"/>
    <w:rsid w:val="00F1362C"/>
    <w:rsid w:val="00F1566D"/>
    <w:rsid w:val="00F2296F"/>
    <w:rsid w:val="00F30EA3"/>
    <w:rsid w:val="00F359EB"/>
    <w:rsid w:val="00F36CC5"/>
    <w:rsid w:val="00F45B86"/>
    <w:rsid w:val="00F6518D"/>
    <w:rsid w:val="00F706FA"/>
    <w:rsid w:val="00F74981"/>
    <w:rsid w:val="00F754C9"/>
    <w:rsid w:val="00F76908"/>
    <w:rsid w:val="00F824F5"/>
    <w:rsid w:val="00F8325B"/>
    <w:rsid w:val="00F90239"/>
    <w:rsid w:val="00F904E9"/>
    <w:rsid w:val="00F90A62"/>
    <w:rsid w:val="00F937DF"/>
    <w:rsid w:val="00FA189B"/>
    <w:rsid w:val="00FA3FA5"/>
    <w:rsid w:val="00FA43C5"/>
    <w:rsid w:val="00FB1C61"/>
    <w:rsid w:val="00FB2E9A"/>
    <w:rsid w:val="00FC29B9"/>
    <w:rsid w:val="00FC2A49"/>
    <w:rsid w:val="00FC6FD3"/>
    <w:rsid w:val="00FD03C4"/>
    <w:rsid w:val="00FD5F3F"/>
    <w:rsid w:val="00FE2C59"/>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56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F1566D"/>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2.xml><?xml version="1.0" encoding="utf-8"?>
<ds:datastoreItem xmlns:ds="http://schemas.openxmlformats.org/officeDocument/2006/customXml" ds:itemID="{34C6501F-12C1-4586-AF94-FA02AB4895B5}">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4.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5.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F57F7A-73BB-4FCF-B260-AC1D7D6D67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Discussion on Pre-configured MG patterns</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Nokia</cp:lastModifiedBy>
  <cp:revision>8</cp:revision>
  <dcterms:created xsi:type="dcterms:W3CDTF">2022-02-11T14:02:00Z</dcterms:created>
  <dcterms:modified xsi:type="dcterms:W3CDTF">2022-04-25T23:53:00Z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